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79B1" w14:textId="77777777" w:rsidR="0043726A" w:rsidRDefault="0043726A" w:rsidP="00D05D85">
      <w:pPr>
        <w:suppressAutoHyphens/>
        <w:rPr>
          <w:rFonts w:ascii="Arial" w:eastAsia="Arial" w:hAnsi="Arial" w:cs="Arial"/>
          <w:b/>
          <w:sz w:val="28"/>
          <w:szCs w:val="28"/>
        </w:rPr>
      </w:pPr>
    </w:p>
    <w:p w14:paraId="5B9AAA50" w14:textId="09CB7A93" w:rsidR="001113CE" w:rsidRDefault="001113CE" w:rsidP="00D05D85">
      <w:pPr>
        <w:suppressAutoHyphens/>
        <w:rPr>
          <w:rFonts w:ascii="Arial" w:eastAsia="Arial" w:hAnsi="Arial" w:cs="Arial"/>
          <w:b/>
          <w:sz w:val="28"/>
          <w:szCs w:val="28"/>
        </w:rPr>
      </w:pPr>
    </w:p>
    <w:p w14:paraId="4BA8B47E" w14:textId="51CD22F5" w:rsidR="00AD228C" w:rsidRPr="002B1781" w:rsidRDefault="0058311A" w:rsidP="00D05D85">
      <w:pPr>
        <w:suppressAutoHyphens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Imagine office complex to be refinanced</w:t>
      </w:r>
    </w:p>
    <w:p w14:paraId="6FCF68B2" w14:textId="6BD7DE0E" w:rsidR="0043726A" w:rsidRDefault="0043726A" w:rsidP="00D05D85">
      <w:pPr>
        <w:suppressAutoHyphens/>
        <w:rPr>
          <w:rFonts w:ascii="Arial" w:eastAsia="Arial" w:hAnsi="Arial" w:cs="Arial"/>
          <w:b/>
          <w:sz w:val="28"/>
          <w:szCs w:val="28"/>
        </w:rPr>
      </w:pPr>
    </w:p>
    <w:p w14:paraId="02F05600" w14:textId="77777777" w:rsidR="0043726A" w:rsidRPr="00C20416" w:rsidRDefault="00987F67" w:rsidP="00D05D85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 </w:t>
      </w:r>
    </w:p>
    <w:p w14:paraId="591FEFAD" w14:textId="7D8119FC" w:rsidR="0043726A" w:rsidRPr="00C20416" w:rsidRDefault="00E80E43" w:rsidP="00D05D85">
      <w:pPr>
        <w:suppressAutoHyphens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>23</w:t>
      </w:r>
      <w:r w:rsidR="003B45FD">
        <w:rPr>
          <w:rFonts w:ascii="Arial" w:hAnsi="Arial"/>
          <w:sz w:val="22"/>
        </w:rPr>
        <w:t xml:space="preserve"> January </w:t>
      </w:r>
      <w:r w:rsidR="00E05E32">
        <w:rPr>
          <w:rFonts w:ascii="Arial" w:hAnsi="Arial"/>
          <w:sz w:val="22"/>
        </w:rPr>
        <w:t>202</w:t>
      </w:r>
      <w:r w:rsidR="00A05DBF">
        <w:rPr>
          <w:rFonts w:ascii="Arial" w:hAnsi="Arial"/>
          <w:sz w:val="22"/>
        </w:rPr>
        <w:t>4</w:t>
      </w:r>
      <w:bookmarkStart w:id="0" w:name="_GoBack"/>
      <w:bookmarkEnd w:id="0"/>
    </w:p>
    <w:p w14:paraId="2A96A1B4" w14:textId="77777777" w:rsidR="00671ADD" w:rsidRPr="00C20416" w:rsidRDefault="00671ADD" w:rsidP="00D05D85">
      <w:pPr>
        <w:suppressAutoHyphens/>
        <w:rPr>
          <w:rFonts w:ascii="Arial" w:eastAsia="Arial" w:hAnsi="Arial" w:cs="Arial"/>
          <w:sz w:val="22"/>
          <w:szCs w:val="22"/>
        </w:rPr>
      </w:pPr>
    </w:p>
    <w:p w14:paraId="47B5B37B" w14:textId="2344FEAD" w:rsidR="00B145EF" w:rsidRDefault="00862759" w:rsidP="00D05D85">
      <w:pPr>
        <w:suppressAutoHyphens/>
        <w:spacing w:after="28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Avestus Real Estate has signed a loan agreement to refinance the Imagine office complex in Łódź. The loan for a total of EUR 23.9 million was provided by mBank S.A.</w:t>
      </w:r>
    </w:p>
    <w:p w14:paraId="71F8DC06" w14:textId="1647F559" w:rsidR="00FD07C5" w:rsidRPr="00632DE0" w:rsidRDefault="00632DE0" w:rsidP="00D05D85">
      <w:pPr>
        <w:suppressAutoHyphens/>
        <w:spacing w:after="28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The Imagine complex, located at the </w:t>
      </w:r>
      <w:r w:rsidR="009C291A">
        <w:rPr>
          <w:rFonts w:ascii="Arial" w:hAnsi="Arial"/>
          <w:sz w:val="22"/>
        </w:rPr>
        <w:t xml:space="preserve">junction </w:t>
      </w:r>
      <w:r>
        <w:rPr>
          <w:rFonts w:ascii="Arial" w:hAnsi="Arial"/>
          <w:sz w:val="22"/>
        </w:rPr>
        <w:t xml:space="preserve">of Piłsudskiego and Śmigłego-Rydza </w:t>
      </w:r>
      <w:r w:rsidR="00070C4C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venues in Łódź, was delivered in 2019. Imagine is a state-of-the-art class A office building consisting of three facilities. Two of them are six-storey buildings and offer a total of 17,200 m</w:t>
      </w:r>
      <w:r w:rsidR="00070C4C" w:rsidRPr="00C315BE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of commercial space</w:t>
      </w:r>
      <w:r w:rsidR="009C291A">
        <w:rPr>
          <w:rFonts w:ascii="Arial" w:hAnsi="Arial"/>
          <w:sz w:val="22"/>
        </w:rPr>
        <w:t xml:space="preserve"> (</w:t>
      </w:r>
      <w:r>
        <w:rPr>
          <w:rFonts w:ascii="Arial" w:hAnsi="Arial"/>
          <w:sz w:val="22"/>
        </w:rPr>
        <w:t>14,800 m</w:t>
      </w:r>
      <w:r w:rsidR="00070C4C" w:rsidRPr="00C315BE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of office space and 2,400 m</w:t>
      </w:r>
      <w:r w:rsidR="00070C4C" w:rsidRPr="00C315BE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of retail and service space</w:t>
      </w:r>
      <w:r w:rsidR="009C291A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. </w:t>
      </w:r>
      <w:r w:rsidR="009C291A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he third</w:t>
      </w:r>
      <w:r w:rsidR="009C291A">
        <w:rPr>
          <w:rFonts w:ascii="Arial" w:hAnsi="Arial"/>
          <w:sz w:val="22"/>
        </w:rPr>
        <w:t xml:space="preserve"> one houses</w:t>
      </w:r>
      <w:r>
        <w:rPr>
          <w:rFonts w:ascii="Arial" w:hAnsi="Arial"/>
          <w:sz w:val="22"/>
        </w:rPr>
        <w:t xml:space="preserve"> an </w:t>
      </w:r>
      <w:r w:rsidR="00C839E6">
        <w:rPr>
          <w:rFonts w:ascii="Arial" w:hAnsi="Arial"/>
          <w:sz w:val="22"/>
        </w:rPr>
        <w:t>above</w:t>
      </w:r>
      <w:r>
        <w:rPr>
          <w:rFonts w:ascii="Arial" w:hAnsi="Arial"/>
          <w:sz w:val="22"/>
        </w:rPr>
        <w:t xml:space="preserve">ground garage offering 356 parking spaces, 49 double bicycle racks and an electric vehicle charging station. </w:t>
      </w:r>
    </w:p>
    <w:p w14:paraId="666EFD46" w14:textId="6702D2B2" w:rsidR="00905D22" w:rsidRDefault="00FD07C5" w:rsidP="00D05D85">
      <w:pPr>
        <w:suppressAutoHyphens/>
        <w:spacing w:after="2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Among the tenants of the complex are EY, a global leader in audit services, and Asseco Poland, the largest supplier of modern IT solutions in Central and Eastern Europe. </w:t>
      </w:r>
      <w:proofErr w:type="spellStart"/>
      <w:r>
        <w:rPr>
          <w:rFonts w:ascii="Arial" w:hAnsi="Arial"/>
          <w:sz w:val="22"/>
        </w:rPr>
        <w:t>Bluerank</w:t>
      </w:r>
      <w:proofErr w:type="spellEnd"/>
      <w:r w:rsidR="004E27B2">
        <w:rPr>
          <w:rFonts w:ascii="Arial" w:hAnsi="Arial"/>
          <w:sz w:val="22"/>
        </w:rPr>
        <w:t>,</w:t>
      </w:r>
      <w:r w:rsidR="00C53C53" w:rsidRPr="00C53C53">
        <w:t xml:space="preserve"> </w:t>
      </w:r>
      <w:r w:rsidR="00C53C53" w:rsidRPr="00C53C53">
        <w:rPr>
          <w:rFonts w:ascii="Arial" w:hAnsi="Arial"/>
          <w:sz w:val="22"/>
        </w:rPr>
        <w:t xml:space="preserve">WWT (World Wide Technology), Well Fitness, Philips, GE </w:t>
      </w:r>
      <w:r w:rsidR="00C53C53">
        <w:rPr>
          <w:rFonts w:ascii="Arial" w:hAnsi="Arial"/>
          <w:sz w:val="22"/>
        </w:rPr>
        <w:t>and</w:t>
      </w:r>
      <w:r w:rsidR="00C53C53" w:rsidRPr="00C53C53">
        <w:rPr>
          <w:rFonts w:ascii="Arial" w:hAnsi="Arial"/>
          <w:sz w:val="22"/>
        </w:rPr>
        <w:t xml:space="preserve"> LUX MED</w:t>
      </w:r>
      <w:r w:rsidR="00C53C5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</w:t>
      </w:r>
      <w:r w:rsidR="00C53C53">
        <w:rPr>
          <w:rFonts w:ascii="Arial" w:hAnsi="Arial"/>
          <w:sz w:val="22"/>
        </w:rPr>
        <w:t>ve</w:t>
      </w:r>
      <w:r>
        <w:rPr>
          <w:rFonts w:ascii="Arial" w:hAnsi="Arial"/>
          <w:sz w:val="22"/>
        </w:rPr>
        <w:t xml:space="preserve"> also decided to lease space at Imagine. The tenant roster</w:t>
      </w:r>
      <w:r w:rsidR="009C291A">
        <w:rPr>
          <w:rFonts w:ascii="Arial" w:hAnsi="Arial"/>
          <w:sz w:val="22"/>
        </w:rPr>
        <w:t xml:space="preserve"> also</w:t>
      </w:r>
      <w:r>
        <w:rPr>
          <w:rFonts w:ascii="Arial" w:hAnsi="Arial"/>
          <w:sz w:val="22"/>
        </w:rPr>
        <w:t xml:space="preserve"> includes Kids</w:t>
      </w:r>
      <w:r w:rsidR="008E1E4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&amp;</w:t>
      </w:r>
      <w:r w:rsidR="008E1E4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Co., a bilingual kindergarten and nursery, a Żabka store</w:t>
      </w:r>
      <w:r w:rsidR="00C11E87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and the </w:t>
      </w:r>
      <w:r w:rsidR="00C11E87">
        <w:rPr>
          <w:rFonts w:ascii="Arial" w:hAnsi="Arial"/>
          <w:sz w:val="22"/>
        </w:rPr>
        <w:t xml:space="preserve">café and </w:t>
      </w:r>
      <w:r w:rsidR="00463BA1">
        <w:rPr>
          <w:rFonts w:ascii="Arial" w:hAnsi="Arial"/>
          <w:sz w:val="22"/>
        </w:rPr>
        <w:t xml:space="preserve">bakery </w:t>
      </w:r>
      <w:r>
        <w:rPr>
          <w:rFonts w:ascii="Arial" w:hAnsi="Arial"/>
          <w:sz w:val="22"/>
        </w:rPr>
        <w:t xml:space="preserve">Z Pieca Rodem. </w:t>
      </w:r>
      <w:r w:rsidR="004E27B2">
        <w:rPr>
          <w:rFonts w:ascii="Arial" w:hAnsi="Arial"/>
          <w:sz w:val="22"/>
        </w:rPr>
        <w:t xml:space="preserve">Moreover, </w:t>
      </w:r>
      <w:r>
        <w:rPr>
          <w:rFonts w:ascii="Arial" w:hAnsi="Arial"/>
          <w:sz w:val="22"/>
        </w:rPr>
        <w:t xml:space="preserve">Imagine features a </w:t>
      </w:r>
      <w:r w:rsidR="00C11617">
        <w:rPr>
          <w:rFonts w:ascii="Arial" w:hAnsi="Arial"/>
          <w:sz w:val="22"/>
        </w:rPr>
        <w:t>modern</w:t>
      </w:r>
      <w:r>
        <w:rPr>
          <w:rFonts w:ascii="Arial" w:hAnsi="Arial"/>
          <w:sz w:val="22"/>
        </w:rPr>
        <w:t xml:space="preserve"> conference </w:t>
      </w:r>
      <w:r w:rsidR="00C53C53">
        <w:rPr>
          <w:rFonts w:ascii="Arial" w:hAnsi="Arial"/>
          <w:sz w:val="22"/>
        </w:rPr>
        <w:t xml:space="preserve">and coworking </w:t>
      </w:r>
      <w:r>
        <w:rPr>
          <w:rFonts w:ascii="Arial" w:hAnsi="Arial"/>
          <w:sz w:val="22"/>
        </w:rPr>
        <w:t xml:space="preserve">centre, managed by </w:t>
      </w:r>
      <w:proofErr w:type="spellStart"/>
      <w:r>
        <w:rPr>
          <w:rFonts w:ascii="Arial" w:hAnsi="Arial"/>
          <w:sz w:val="22"/>
        </w:rPr>
        <w:t>Avestus</w:t>
      </w:r>
      <w:proofErr w:type="spellEnd"/>
      <w:r>
        <w:rPr>
          <w:rFonts w:ascii="Arial" w:hAnsi="Arial"/>
          <w:sz w:val="22"/>
        </w:rPr>
        <w:t xml:space="preserve"> Real Estate.</w:t>
      </w:r>
    </w:p>
    <w:p w14:paraId="4A00D2AA" w14:textId="4E8C8C7C" w:rsidR="00F17A1B" w:rsidRPr="00C315BE" w:rsidRDefault="0044684E" w:rsidP="00D05D85">
      <w:pPr>
        <w:suppressAutoHyphens/>
        <w:spacing w:after="280"/>
        <w:jc w:val="both"/>
        <w:rPr>
          <w:rFonts w:ascii="Arial" w:eastAsia="Arial" w:hAnsi="Arial" w:cs="Arial"/>
          <w:iCs/>
          <w:sz w:val="22"/>
          <w:szCs w:val="22"/>
        </w:rPr>
      </w:pPr>
      <w:r w:rsidRPr="00C315BE">
        <w:rPr>
          <w:rFonts w:ascii="Arial" w:hAnsi="Arial"/>
          <w:iCs/>
          <w:sz w:val="22"/>
        </w:rPr>
        <w:t>“</w:t>
      </w:r>
      <w:r w:rsidR="00DC7FA9" w:rsidRPr="00C315BE">
        <w:rPr>
          <w:rFonts w:ascii="Arial" w:hAnsi="Arial"/>
          <w:iCs/>
          <w:sz w:val="22"/>
        </w:rPr>
        <w:t>We are very pleased to have secured the refinancing of our flagship office project in Łódź</w:t>
      </w:r>
      <w:r w:rsidRPr="00C315BE">
        <w:rPr>
          <w:rFonts w:ascii="Arial" w:hAnsi="Arial"/>
          <w:iCs/>
          <w:sz w:val="22"/>
        </w:rPr>
        <w:t>,” said</w:t>
      </w:r>
      <w:r w:rsidR="00DC7FA9" w:rsidRPr="00C315BE">
        <w:rPr>
          <w:rFonts w:ascii="Arial" w:hAnsi="Arial"/>
          <w:iCs/>
          <w:sz w:val="22"/>
        </w:rPr>
        <w:t xml:space="preserve"> </w:t>
      </w:r>
      <w:r w:rsidRPr="00C315BE">
        <w:rPr>
          <w:rFonts w:ascii="Arial" w:hAnsi="Arial"/>
          <w:b/>
          <w:iCs/>
          <w:sz w:val="22"/>
        </w:rPr>
        <w:t>Mariusz Frąckiewicz, Country Manager at Avestus Real Estate in Poland</w:t>
      </w:r>
      <w:r w:rsidR="007E2D52" w:rsidRPr="00C315BE">
        <w:rPr>
          <w:rFonts w:ascii="Arial" w:hAnsi="Arial"/>
          <w:b/>
          <w:iCs/>
          <w:sz w:val="22"/>
        </w:rPr>
        <w:t xml:space="preserve">. </w:t>
      </w:r>
      <w:r w:rsidR="007E2D52" w:rsidRPr="00C315BE">
        <w:rPr>
          <w:rFonts w:ascii="Arial" w:hAnsi="Arial"/>
          <w:bCs/>
          <w:iCs/>
          <w:sz w:val="22"/>
        </w:rPr>
        <w:t>“</w:t>
      </w:r>
      <w:r w:rsidR="00DC7FA9" w:rsidRPr="00C315BE">
        <w:rPr>
          <w:rFonts w:ascii="Arial" w:hAnsi="Arial"/>
          <w:iCs/>
          <w:sz w:val="22"/>
        </w:rPr>
        <w:t>The loan granted by mBank S.A., a leading capital market institution, demonstrates confidence in our company, but also the quality and business potential of the Imagine complex and the entire Łódź office real estate market</w:t>
      </w:r>
      <w:r w:rsidR="007E2D52" w:rsidRPr="00C315BE">
        <w:rPr>
          <w:rFonts w:ascii="Arial" w:hAnsi="Arial"/>
          <w:iCs/>
          <w:sz w:val="22"/>
        </w:rPr>
        <w:t>.”</w:t>
      </w:r>
    </w:p>
    <w:p w14:paraId="35E6A731" w14:textId="00F64964" w:rsidR="003D7D14" w:rsidRDefault="003D7D14" w:rsidP="00D05D85">
      <w:pPr>
        <w:suppressAutoHyphens/>
        <w:spacing w:after="2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The </w:t>
      </w:r>
      <w:r w:rsidR="00730FBA">
        <w:rPr>
          <w:rFonts w:ascii="Arial" w:hAnsi="Arial"/>
          <w:sz w:val="22"/>
        </w:rPr>
        <w:t xml:space="preserve">law firm </w:t>
      </w:r>
      <w:r>
        <w:rPr>
          <w:rFonts w:ascii="Arial" w:hAnsi="Arial"/>
          <w:sz w:val="22"/>
        </w:rPr>
        <w:t>KLBF Kycia Legal advised mBank S.A. on the refinancing of the Imagine office complex in Łódź. The borrower was represented by Taylor Wessing.</w:t>
      </w:r>
    </w:p>
    <w:p w14:paraId="3C8E7E47" w14:textId="77777777" w:rsidR="0096603C" w:rsidRPr="0096603C" w:rsidRDefault="0096603C" w:rsidP="00D05D85">
      <w:pPr>
        <w:suppressAutoHyphens/>
        <w:spacing w:before="100" w:beforeAutospacing="1" w:after="100" w:afterAutospacing="1"/>
        <w:ind w:right="-48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Imagine – facts and figures</w:t>
      </w:r>
    </w:p>
    <w:p w14:paraId="418F3BD8" w14:textId="1D5BAA4B" w:rsidR="0096603C" w:rsidRPr="0096603C" w:rsidRDefault="0096603C" w:rsidP="00D05D85">
      <w:pPr>
        <w:numPr>
          <w:ilvl w:val="0"/>
          <w:numId w:val="3"/>
        </w:numPr>
        <w:suppressAutoHyphens/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Total area: 17,200 m</w:t>
      </w:r>
      <w:r w:rsidR="00730FBA" w:rsidRPr="00C315BE"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, class A (in two buildings)</w:t>
      </w:r>
    </w:p>
    <w:p w14:paraId="2EF793FA" w14:textId="60A0D179" w:rsidR="0096603C" w:rsidRPr="0096603C" w:rsidRDefault="0096603C" w:rsidP="00D05D85">
      <w:pPr>
        <w:numPr>
          <w:ilvl w:val="1"/>
          <w:numId w:val="3"/>
        </w:numPr>
        <w:suppressAutoHyphens/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14,800 m</w:t>
      </w:r>
      <w:r w:rsidR="00730FBA" w:rsidRPr="00C315BE"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 of office space</w:t>
      </w:r>
    </w:p>
    <w:p w14:paraId="6AF4B4BC" w14:textId="149101CA" w:rsidR="0096603C" w:rsidRPr="0096603C" w:rsidRDefault="0096603C" w:rsidP="00D05D85">
      <w:pPr>
        <w:numPr>
          <w:ilvl w:val="1"/>
          <w:numId w:val="3"/>
        </w:numPr>
        <w:suppressAutoHyphens/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2,400 m</w:t>
      </w:r>
      <w:r w:rsidR="00730FBA" w:rsidRPr="00C315BE"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 of retail and service space</w:t>
      </w:r>
    </w:p>
    <w:p w14:paraId="48C6851C" w14:textId="19FE50B1" w:rsidR="0096603C" w:rsidRPr="0096603C" w:rsidRDefault="0096603C" w:rsidP="00D05D85">
      <w:pPr>
        <w:numPr>
          <w:ilvl w:val="0"/>
          <w:numId w:val="3"/>
        </w:numPr>
        <w:suppressAutoHyphens/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Number of parking spaces: 356 in an </w:t>
      </w:r>
      <w:r w:rsidR="00C839E6">
        <w:rPr>
          <w:rFonts w:ascii="Arial" w:hAnsi="Arial"/>
          <w:sz w:val="18"/>
        </w:rPr>
        <w:t>above</w:t>
      </w:r>
      <w:r>
        <w:rPr>
          <w:rFonts w:ascii="Arial" w:hAnsi="Arial"/>
          <w:sz w:val="18"/>
        </w:rPr>
        <w:t>ground garage</w:t>
      </w:r>
    </w:p>
    <w:p w14:paraId="02ED63E9" w14:textId="77777777" w:rsidR="0096603C" w:rsidRPr="0096603C" w:rsidRDefault="0096603C" w:rsidP="00D05D85">
      <w:pPr>
        <w:numPr>
          <w:ilvl w:val="0"/>
          <w:numId w:val="3"/>
        </w:numPr>
        <w:suppressAutoHyphens/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Amenities for cyclists: 49 double bicycle racks, locker rooms, showers</w:t>
      </w:r>
    </w:p>
    <w:p w14:paraId="681E81DD" w14:textId="2612D828" w:rsidR="0096603C" w:rsidRPr="0096603C" w:rsidRDefault="0096603C" w:rsidP="00D05D85">
      <w:pPr>
        <w:numPr>
          <w:ilvl w:val="0"/>
          <w:numId w:val="3"/>
        </w:numPr>
        <w:suppressAutoHyphens/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Location</w:t>
      </w:r>
      <w:r w:rsidR="00C839E6"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 xml:space="preserve"> Łódź, Special Economic Zone (at the </w:t>
      </w:r>
      <w:r w:rsidR="00A26AF7">
        <w:rPr>
          <w:rFonts w:ascii="Arial" w:hAnsi="Arial"/>
          <w:sz w:val="18"/>
        </w:rPr>
        <w:t xml:space="preserve">junction </w:t>
      </w:r>
      <w:r>
        <w:rPr>
          <w:rFonts w:ascii="Arial" w:hAnsi="Arial"/>
          <w:sz w:val="18"/>
        </w:rPr>
        <w:t xml:space="preserve">of Piłsudskiego and Śmigłego-Rydza </w:t>
      </w:r>
      <w:r w:rsidR="00C839E6">
        <w:rPr>
          <w:rFonts w:ascii="Arial" w:hAnsi="Arial"/>
          <w:sz w:val="18"/>
        </w:rPr>
        <w:t>a</w:t>
      </w:r>
      <w:r>
        <w:rPr>
          <w:rFonts w:ascii="Arial" w:hAnsi="Arial"/>
          <w:sz w:val="18"/>
        </w:rPr>
        <w:t>venues)</w:t>
      </w:r>
    </w:p>
    <w:p w14:paraId="7568D92B" w14:textId="77777777" w:rsidR="0096603C" w:rsidRPr="0096603C" w:rsidRDefault="0096603C" w:rsidP="00D05D85">
      <w:pPr>
        <w:numPr>
          <w:ilvl w:val="0"/>
          <w:numId w:val="3"/>
        </w:numPr>
        <w:suppressAutoHyphens/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General contractor for the office part: Eiffage Polska Budownictwo S.A.</w:t>
      </w:r>
    </w:p>
    <w:p w14:paraId="52604E51" w14:textId="3BFB2AE8" w:rsidR="0096603C" w:rsidRPr="0096603C" w:rsidRDefault="0096603C" w:rsidP="00D05D85">
      <w:pPr>
        <w:numPr>
          <w:ilvl w:val="0"/>
          <w:numId w:val="3"/>
        </w:numPr>
        <w:suppressAutoHyphens/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General contractor for the </w:t>
      </w:r>
      <w:r w:rsidR="00C839E6">
        <w:rPr>
          <w:rFonts w:ascii="Arial" w:hAnsi="Arial"/>
          <w:sz w:val="18"/>
        </w:rPr>
        <w:t>above</w:t>
      </w:r>
      <w:r>
        <w:rPr>
          <w:rFonts w:ascii="Arial" w:hAnsi="Arial"/>
          <w:sz w:val="18"/>
        </w:rPr>
        <w:t xml:space="preserve">ground garage: </w:t>
      </w:r>
      <w:r w:rsidR="00C839E6">
        <w:rPr>
          <w:rFonts w:ascii="Arial" w:hAnsi="Arial"/>
          <w:sz w:val="18"/>
        </w:rPr>
        <w:t>Goldbeck</w:t>
      </w:r>
    </w:p>
    <w:p w14:paraId="53A95177" w14:textId="1A206013" w:rsidR="0096603C" w:rsidRPr="0096603C" w:rsidRDefault="0096603C" w:rsidP="00D05D85">
      <w:pPr>
        <w:numPr>
          <w:ilvl w:val="0"/>
          <w:numId w:val="3"/>
        </w:numPr>
        <w:suppressAutoHyphens/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Architect: BE DDJM Biuro Architektoniczne</w:t>
      </w:r>
    </w:p>
    <w:p w14:paraId="21A72C7B" w14:textId="08746153" w:rsidR="0096603C" w:rsidRPr="0096603C" w:rsidRDefault="0096603C" w:rsidP="00D05D85">
      <w:pPr>
        <w:numPr>
          <w:ilvl w:val="0"/>
          <w:numId w:val="3"/>
        </w:numPr>
        <w:suppressAutoHyphens/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Developer: Avestus Real Estate</w:t>
      </w:r>
    </w:p>
    <w:p w14:paraId="256233E4" w14:textId="461738FB" w:rsidR="0096603C" w:rsidRPr="0096603C" w:rsidRDefault="0096603C" w:rsidP="00D05D85">
      <w:pPr>
        <w:numPr>
          <w:ilvl w:val="0"/>
          <w:numId w:val="3"/>
        </w:numPr>
        <w:suppressAutoHyphens/>
        <w:spacing w:before="100" w:beforeAutospacing="1" w:after="100" w:afterAutospacing="1"/>
        <w:ind w:right="-48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Start of construction: March 2018</w:t>
      </w:r>
    </w:p>
    <w:p w14:paraId="769B1379" w14:textId="1F3D58A6" w:rsidR="008B705A" w:rsidRPr="00F556C4" w:rsidRDefault="0096603C" w:rsidP="00C315BE">
      <w:pPr>
        <w:numPr>
          <w:ilvl w:val="0"/>
          <w:numId w:val="3"/>
        </w:numPr>
        <w:suppressAutoHyphens/>
        <w:spacing w:before="100" w:beforeAutospacing="1" w:after="240" w:afterAutospacing="1"/>
        <w:ind w:right="-489"/>
        <w:contextualSpacing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205A97">
        <w:rPr>
          <w:rFonts w:ascii="Arial" w:hAnsi="Arial"/>
          <w:sz w:val="18"/>
        </w:rPr>
        <w:t>Completion: September 2019</w:t>
      </w:r>
    </w:p>
    <w:p w14:paraId="0E2EFDFD" w14:textId="77777777" w:rsidR="00F556C4" w:rsidRDefault="00F556C4" w:rsidP="00F556C4">
      <w:pPr>
        <w:suppressAutoHyphens/>
        <w:spacing w:before="100" w:beforeAutospacing="1" w:after="240" w:afterAutospacing="1"/>
        <w:ind w:right="-489"/>
        <w:contextualSpacing/>
        <w:jc w:val="both"/>
        <w:rPr>
          <w:rFonts w:ascii="Arial" w:hAnsi="Arial"/>
          <w:sz w:val="18"/>
        </w:rPr>
      </w:pPr>
    </w:p>
    <w:p w14:paraId="17ED24F5" w14:textId="77777777" w:rsidR="00F556C4" w:rsidRDefault="00F556C4" w:rsidP="00F556C4">
      <w:pPr>
        <w:suppressAutoHyphens/>
        <w:spacing w:before="100" w:beforeAutospacing="1" w:after="240" w:afterAutospacing="1"/>
        <w:ind w:right="-489"/>
        <w:contextualSpacing/>
        <w:jc w:val="both"/>
        <w:rPr>
          <w:rFonts w:ascii="Arial" w:hAnsi="Arial"/>
          <w:sz w:val="18"/>
        </w:rPr>
      </w:pPr>
    </w:p>
    <w:p w14:paraId="74EB3BF2" w14:textId="77777777" w:rsidR="00F556C4" w:rsidRDefault="00F556C4" w:rsidP="00F556C4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14:paraId="48B6D2FD" w14:textId="77777777" w:rsidR="00F556C4" w:rsidRDefault="00F556C4" w:rsidP="00F556C4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14:paraId="584F75AD" w14:textId="7F67B5CF" w:rsidR="00F556C4" w:rsidRPr="009A4182" w:rsidRDefault="00F556C4" w:rsidP="00F556C4">
      <w:pPr>
        <w:rPr>
          <w:rFonts w:ascii="Arial" w:eastAsia="Arial" w:hAnsi="Arial" w:cs="Arial"/>
          <w:b/>
          <w:sz w:val="18"/>
          <w:szCs w:val="18"/>
          <w:u w:val="single"/>
        </w:rPr>
      </w:pPr>
      <w:proofErr w:type="spellStart"/>
      <w:r w:rsidRPr="009A4182">
        <w:rPr>
          <w:rFonts w:ascii="Arial" w:eastAsia="Arial" w:hAnsi="Arial" w:cs="Arial"/>
          <w:b/>
          <w:sz w:val="18"/>
          <w:szCs w:val="18"/>
          <w:u w:val="single"/>
        </w:rPr>
        <w:t>Avestus</w:t>
      </w:r>
      <w:proofErr w:type="spellEnd"/>
      <w:r w:rsidRPr="009A4182">
        <w:rPr>
          <w:rFonts w:ascii="Arial" w:eastAsia="Arial" w:hAnsi="Arial" w:cs="Arial"/>
          <w:b/>
          <w:sz w:val="18"/>
          <w:szCs w:val="18"/>
          <w:u w:val="single"/>
        </w:rPr>
        <w:t xml:space="preserve"> Real Estate</w:t>
      </w:r>
    </w:p>
    <w:p w14:paraId="7B62497B" w14:textId="77777777" w:rsidR="00F556C4" w:rsidRPr="009A4182" w:rsidRDefault="00F556C4" w:rsidP="00F556C4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14:paraId="04A9F982" w14:textId="77777777" w:rsidR="00F556C4" w:rsidRPr="009A4182" w:rsidRDefault="00F556C4" w:rsidP="00F556C4">
      <w:pPr>
        <w:spacing w:after="240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9A4182">
        <w:rPr>
          <w:rFonts w:ascii="Arial" w:eastAsia="Arial" w:hAnsi="Arial" w:cs="Arial"/>
          <w:sz w:val="18"/>
          <w:szCs w:val="18"/>
        </w:rPr>
        <w:t>Avestus</w:t>
      </w:r>
      <w:proofErr w:type="spellEnd"/>
      <w:r w:rsidRPr="009A4182">
        <w:rPr>
          <w:rFonts w:ascii="Arial" w:eastAsia="Arial" w:hAnsi="Arial" w:cs="Arial"/>
          <w:sz w:val="18"/>
          <w:szCs w:val="18"/>
        </w:rPr>
        <w:t xml:space="preserve"> Real Estate, a leading real estate advisor, developer, and investor in Poland and Central Europe, has operat</w:t>
      </w:r>
      <w:r>
        <w:rPr>
          <w:rFonts w:ascii="Arial" w:eastAsia="Arial" w:hAnsi="Arial" w:cs="Arial"/>
          <w:sz w:val="18"/>
          <w:szCs w:val="18"/>
        </w:rPr>
        <w:t>ed</w:t>
      </w:r>
      <w:r w:rsidRPr="009A4182">
        <w:rPr>
          <w:rFonts w:ascii="Arial" w:eastAsia="Arial" w:hAnsi="Arial" w:cs="Arial"/>
          <w:sz w:val="18"/>
          <w:szCs w:val="18"/>
        </w:rPr>
        <w:t xml:space="preserve"> on the real estate market for more than 20 years. The company carries out projects in the Czech Republic, Poland, Hungary, and Slovakia</w:t>
      </w:r>
      <w:r>
        <w:rPr>
          <w:rFonts w:ascii="Arial" w:eastAsia="Arial" w:hAnsi="Arial" w:cs="Arial"/>
          <w:sz w:val="18"/>
          <w:szCs w:val="18"/>
        </w:rPr>
        <w:t>,</w:t>
      </w:r>
      <w:r w:rsidRPr="009A4182">
        <w:rPr>
          <w:rFonts w:ascii="Arial" w:eastAsia="Arial" w:hAnsi="Arial" w:cs="Arial"/>
          <w:sz w:val="18"/>
          <w:szCs w:val="18"/>
        </w:rPr>
        <w:t xml:space="preserve"> where it develops office, retail, mixed-use and residential projects. In the CEE region, the company has about two million square met</w:t>
      </w:r>
      <w:r>
        <w:rPr>
          <w:rFonts w:ascii="Arial" w:eastAsia="Arial" w:hAnsi="Arial" w:cs="Arial"/>
          <w:sz w:val="18"/>
          <w:szCs w:val="18"/>
        </w:rPr>
        <w:t>r</w:t>
      </w:r>
      <w:r w:rsidRPr="009A4182">
        <w:rPr>
          <w:rFonts w:ascii="Arial" w:eastAsia="Arial" w:hAnsi="Arial" w:cs="Arial"/>
          <w:sz w:val="18"/>
          <w:szCs w:val="18"/>
        </w:rPr>
        <w:t>es of commercial property under development, management, or leasing advisory.</w:t>
      </w:r>
    </w:p>
    <w:p w14:paraId="07D5B397" w14:textId="764AFC70" w:rsidR="00F556C4" w:rsidRPr="009A4182" w:rsidRDefault="00F556C4" w:rsidP="00F556C4">
      <w:pPr>
        <w:jc w:val="both"/>
        <w:rPr>
          <w:rFonts w:ascii="Arial" w:eastAsia="Arial" w:hAnsi="Arial" w:cs="Arial"/>
          <w:sz w:val="18"/>
          <w:szCs w:val="18"/>
        </w:rPr>
      </w:pPr>
      <w:r w:rsidRPr="009A4182">
        <w:rPr>
          <w:rFonts w:ascii="Arial" w:eastAsia="Arial" w:hAnsi="Arial" w:cs="Arial"/>
          <w:sz w:val="18"/>
          <w:szCs w:val="18"/>
        </w:rPr>
        <w:t xml:space="preserve">In Poland, </w:t>
      </w:r>
      <w:proofErr w:type="spellStart"/>
      <w:r w:rsidRPr="009A4182">
        <w:rPr>
          <w:rFonts w:ascii="Arial" w:eastAsia="Arial" w:hAnsi="Arial" w:cs="Arial"/>
          <w:sz w:val="18"/>
          <w:szCs w:val="18"/>
        </w:rPr>
        <w:t>Avestus</w:t>
      </w:r>
      <w:proofErr w:type="spellEnd"/>
      <w:r w:rsidRPr="009A4182">
        <w:rPr>
          <w:rFonts w:ascii="Arial" w:eastAsia="Arial" w:hAnsi="Arial" w:cs="Arial"/>
          <w:sz w:val="18"/>
          <w:szCs w:val="18"/>
        </w:rPr>
        <w:t xml:space="preserve"> Real Estate is recognized for such prestigious office developments as the International Business </w:t>
      </w:r>
      <w:proofErr w:type="spellStart"/>
      <w:r w:rsidRPr="009A4182">
        <w:rPr>
          <w:rFonts w:ascii="Arial" w:eastAsia="Arial" w:hAnsi="Arial" w:cs="Arial"/>
          <w:sz w:val="18"/>
          <w:szCs w:val="18"/>
        </w:rPr>
        <w:t>Center</w:t>
      </w:r>
      <w:proofErr w:type="spellEnd"/>
      <w:r w:rsidRPr="009A4182">
        <w:rPr>
          <w:rFonts w:ascii="Arial" w:eastAsia="Arial" w:hAnsi="Arial" w:cs="Arial"/>
          <w:sz w:val="18"/>
          <w:szCs w:val="18"/>
        </w:rPr>
        <w:t xml:space="preserve">, Building F in </w:t>
      </w:r>
      <w:proofErr w:type="spellStart"/>
      <w:r w:rsidRPr="009A4182">
        <w:rPr>
          <w:rFonts w:ascii="Arial" w:eastAsia="Arial" w:hAnsi="Arial" w:cs="Arial"/>
          <w:sz w:val="18"/>
          <w:szCs w:val="18"/>
        </w:rPr>
        <w:t>Wiśniowy</w:t>
      </w:r>
      <w:proofErr w:type="spellEnd"/>
      <w:r w:rsidRPr="009A4182">
        <w:rPr>
          <w:rFonts w:ascii="Arial" w:eastAsia="Arial" w:hAnsi="Arial" w:cs="Arial"/>
          <w:sz w:val="18"/>
          <w:szCs w:val="18"/>
        </w:rPr>
        <w:t xml:space="preserve"> Business Park, the Warsaw Financial </w:t>
      </w:r>
      <w:proofErr w:type="spellStart"/>
      <w:r w:rsidRPr="009A4182">
        <w:rPr>
          <w:rFonts w:ascii="Arial" w:eastAsia="Arial" w:hAnsi="Arial" w:cs="Arial"/>
          <w:sz w:val="18"/>
          <w:szCs w:val="18"/>
        </w:rPr>
        <w:t>Center</w:t>
      </w:r>
      <w:proofErr w:type="spellEnd"/>
      <w:r w:rsidR="009A7455">
        <w:rPr>
          <w:rFonts w:ascii="Arial" w:eastAsia="Arial" w:hAnsi="Arial" w:cs="Arial"/>
          <w:sz w:val="18"/>
          <w:szCs w:val="18"/>
        </w:rPr>
        <w:t xml:space="preserve">, </w:t>
      </w:r>
      <w:r w:rsidRPr="009A4182">
        <w:rPr>
          <w:rFonts w:ascii="Arial" w:eastAsia="Arial" w:hAnsi="Arial" w:cs="Arial"/>
          <w:sz w:val="18"/>
          <w:szCs w:val="18"/>
        </w:rPr>
        <w:t>Enterprise Park offices in Kraków</w:t>
      </w:r>
      <w:r w:rsidR="009A7455">
        <w:rPr>
          <w:rFonts w:ascii="Arial" w:eastAsia="Arial" w:hAnsi="Arial" w:cs="Arial"/>
          <w:sz w:val="18"/>
          <w:szCs w:val="18"/>
        </w:rPr>
        <w:t xml:space="preserve">, Imagine office complex in </w:t>
      </w:r>
      <w:proofErr w:type="spellStart"/>
      <w:r w:rsidR="009A7455">
        <w:rPr>
          <w:rFonts w:ascii="Arial" w:eastAsia="Arial" w:hAnsi="Arial" w:cs="Arial"/>
          <w:sz w:val="18"/>
          <w:szCs w:val="18"/>
        </w:rPr>
        <w:t>Łódź</w:t>
      </w:r>
      <w:proofErr w:type="spellEnd"/>
      <w:r w:rsidR="009A7455">
        <w:rPr>
          <w:rFonts w:ascii="Arial" w:eastAsia="Arial" w:hAnsi="Arial" w:cs="Arial"/>
          <w:sz w:val="18"/>
          <w:szCs w:val="18"/>
        </w:rPr>
        <w:t xml:space="preserve"> and </w:t>
      </w:r>
      <w:r w:rsidR="009A7455" w:rsidRPr="009A7455">
        <w:rPr>
          <w:rFonts w:ascii="Arial" w:eastAsia="Arial" w:hAnsi="Arial" w:cs="Arial"/>
          <w:sz w:val="18"/>
          <w:szCs w:val="18"/>
        </w:rPr>
        <w:t>the newest project in the portfolio</w:t>
      </w:r>
      <w:r w:rsidR="009A7455">
        <w:rPr>
          <w:rFonts w:ascii="Arial" w:eastAsia="Arial" w:hAnsi="Arial" w:cs="Arial"/>
          <w:sz w:val="18"/>
          <w:szCs w:val="18"/>
        </w:rPr>
        <w:t xml:space="preserve"> – </w:t>
      </w:r>
      <w:r w:rsidR="009A7455" w:rsidRPr="009A7455">
        <w:rPr>
          <w:rFonts w:ascii="Arial" w:eastAsia="Arial" w:hAnsi="Arial" w:cs="Arial"/>
          <w:sz w:val="18"/>
          <w:szCs w:val="18"/>
        </w:rPr>
        <w:t xml:space="preserve">the Infinity office complex at ul. </w:t>
      </w:r>
      <w:proofErr w:type="spellStart"/>
      <w:r w:rsidR="009A7455" w:rsidRPr="009A7455">
        <w:rPr>
          <w:rFonts w:ascii="Arial" w:eastAsia="Arial" w:hAnsi="Arial" w:cs="Arial"/>
          <w:sz w:val="18"/>
          <w:szCs w:val="18"/>
        </w:rPr>
        <w:t>Legnicka</w:t>
      </w:r>
      <w:proofErr w:type="spellEnd"/>
      <w:r w:rsidR="009A7455" w:rsidRPr="009A7455">
        <w:rPr>
          <w:rFonts w:ascii="Arial" w:eastAsia="Arial" w:hAnsi="Arial" w:cs="Arial"/>
          <w:sz w:val="18"/>
          <w:szCs w:val="18"/>
        </w:rPr>
        <w:t xml:space="preserve"> 16 in Wroclaw</w:t>
      </w:r>
      <w:r w:rsidR="009A7455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Pr="009A4182">
        <w:rPr>
          <w:rFonts w:ascii="Arial" w:eastAsia="Arial" w:hAnsi="Arial" w:cs="Arial"/>
          <w:sz w:val="18"/>
          <w:szCs w:val="18"/>
        </w:rPr>
        <w:t>Avestus</w:t>
      </w:r>
      <w:proofErr w:type="spellEnd"/>
      <w:r w:rsidRPr="009A4182">
        <w:rPr>
          <w:rFonts w:ascii="Arial" w:eastAsia="Arial" w:hAnsi="Arial" w:cs="Arial"/>
          <w:sz w:val="18"/>
          <w:szCs w:val="18"/>
        </w:rPr>
        <w:t xml:space="preserve"> Real Estate is actively engaged in all aspects of the development process, including planning structures, strategy, financing, and managing a portfolio of various real estate assets. </w:t>
      </w:r>
    </w:p>
    <w:p w14:paraId="2C5766A6" w14:textId="77777777" w:rsidR="00F556C4" w:rsidRPr="009A4182" w:rsidRDefault="00F556C4" w:rsidP="00F556C4">
      <w:pPr>
        <w:jc w:val="both"/>
        <w:rPr>
          <w:rFonts w:ascii="Arial" w:eastAsia="Arial" w:hAnsi="Arial" w:cs="Arial"/>
          <w:sz w:val="18"/>
          <w:szCs w:val="18"/>
        </w:rPr>
      </w:pPr>
    </w:p>
    <w:p w14:paraId="3009AA06" w14:textId="77777777" w:rsidR="00F556C4" w:rsidRPr="009A4182" w:rsidRDefault="00F556C4" w:rsidP="00F556C4">
      <w:pPr>
        <w:jc w:val="both"/>
        <w:rPr>
          <w:rFonts w:ascii="Arial" w:eastAsia="Arial" w:hAnsi="Arial" w:cs="Arial"/>
          <w:color w:val="0000FF"/>
          <w:sz w:val="18"/>
          <w:szCs w:val="18"/>
          <w:u w:val="single"/>
        </w:rPr>
      </w:pPr>
      <w:r w:rsidRPr="009A4182">
        <w:rPr>
          <w:rFonts w:ascii="Arial" w:eastAsia="Arial" w:hAnsi="Arial" w:cs="Arial"/>
          <w:sz w:val="18"/>
          <w:szCs w:val="18"/>
        </w:rPr>
        <w:t>More information: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A4182">
        <w:rPr>
          <w:rFonts w:ascii="Arial" w:eastAsia="Arial" w:hAnsi="Arial" w:cs="Arial"/>
          <w:color w:val="0000FF"/>
          <w:sz w:val="18"/>
          <w:szCs w:val="18"/>
          <w:u w:val="single"/>
        </w:rPr>
        <w:t>www.avestusrealestate.com</w:t>
      </w:r>
      <w:r w:rsidRPr="009A4182">
        <w:rPr>
          <w:rFonts w:ascii="Arial" w:eastAsia="Arial" w:hAnsi="Arial" w:cs="Arial"/>
          <w:sz w:val="18"/>
          <w:szCs w:val="18"/>
        </w:rPr>
        <w:t xml:space="preserve"> </w:t>
      </w:r>
    </w:p>
    <w:p w14:paraId="7DCC7919" w14:textId="77777777" w:rsidR="00F556C4" w:rsidRPr="009A4182" w:rsidRDefault="00F556C4" w:rsidP="00F556C4">
      <w:pPr>
        <w:rPr>
          <w:rFonts w:ascii="Arial" w:eastAsia="Arial" w:hAnsi="Arial" w:cs="Arial"/>
          <w:color w:val="0000FF"/>
          <w:sz w:val="18"/>
          <w:szCs w:val="18"/>
          <w:u w:val="single"/>
        </w:rPr>
      </w:pPr>
    </w:p>
    <w:p w14:paraId="284EBAE1" w14:textId="77777777" w:rsidR="00F556C4" w:rsidRPr="009A4182" w:rsidRDefault="00F556C4" w:rsidP="00F556C4">
      <w:pPr>
        <w:spacing w:before="280" w:after="120"/>
        <w:ind w:right="-488"/>
        <w:rPr>
          <w:rFonts w:ascii="Arial" w:eastAsia="Arial" w:hAnsi="Arial" w:cs="Arial"/>
          <w:sz w:val="18"/>
          <w:szCs w:val="18"/>
        </w:rPr>
      </w:pPr>
      <w:r w:rsidRPr="009A4182">
        <w:rPr>
          <w:rFonts w:ascii="Arial" w:eastAsia="Arial" w:hAnsi="Arial" w:cs="Arial"/>
          <w:b/>
          <w:sz w:val="18"/>
          <w:szCs w:val="18"/>
          <w:u w:val="single"/>
        </w:rPr>
        <w:t>Media contact:</w:t>
      </w:r>
    </w:p>
    <w:p w14:paraId="6F641AE2" w14:textId="77777777" w:rsidR="00F556C4" w:rsidRPr="00D64BE2" w:rsidRDefault="00F556C4" w:rsidP="00F556C4">
      <w:pPr>
        <w:widowControl w:val="0"/>
        <w:rPr>
          <w:rFonts w:ascii="Arial" w:eastAsia="Arial" w:hAnsi="Arial" w:cs="Arial"/>
          <w:sz w:val="18"/>
          <w:szCs w:val="18"/>
        </w:rPr>
      </w:pPr>
      <w:r w:rsidRPr="00D64BE2">
        <w:rPr>
          <w:rFonts w:ascii="Arial" w:eastAsia="Arial" w:hAnsi="Arial" w:cs="Arial"/>
          <w:sz w:val="18"/>
          <w:szCs w:val="18"/>
        </w:rPr>
        <w:t>Krzysztof Wielgus</w:t>
      </w:r>
    </w:p>
    <w:p w14:paraId="6E684570" w14:textId="77777777" w:rsidR="00F556C4" w:rsidRPr="00D64BE2" w:rsidRDefault="00F556C4" w:rsidP="00F556C4">
      <w:pPr>
        <w:widowControl w:val="0"/>
        <w:rPr>
          <w:rFonts w:ascii="Arial" w:eastAsia="Arial" w:hAnsi="Arial" w:cs="Arial"/>
          <w:sz w:val="18"/>
          <w:szCs w:val="18"/>
        </w:rPr>
      </w:pPr>
      <w:r w:rsidRPr="00D64BE2">
        <w:rPr>
          <w:rFonts w:ascii="Arial" w:eastAsia="Arial" w:hAnsi="Arial" w:cs="Arial"/>
          <w:sz w:val="18"/>
          <w:szCs w:val="18"/>
        </w:rPr>
        <w:t>Advanced PR</w:t>
      </w:r>
      <w:r w:rsidRPr="00D64BE2">
        <w:rPr>
          <w:rFonts w:ascii="Arial" w:eastAsia="Arial" w:hAnsi="Arial" w:cs="Arial"/>
          <w:sz w:val="18"/>
          <w:szCs w:val="18"/>
        </w:rPr>
        <w:br/>
        <w:t xml:space="preserve">e-mail: </w:t>
      </w:r>
      <w:hyperlink r:id="rId8" w:history="1">
        <w:r w:rsidRPr="00D64BE2">
          <w:rPr>
            <w:rStyle w:val="Hipercze"/>
            <w:rFonts w:ascii="Arial" w:eastAsia="Arial" w:hAnsi="Arial" w:cs="Arial"/>
            <w:sz w:val="18"/>
            <w:szCs w:val="18"/>
          </w:rPr>
          <w:t>kwielgus@advancedpr.pl</w:t>
        </w:r>
      </w:hyperlink>
      <w:r w:rsidRPr="00D64BE2">
        <w:rPr>
          <w:rFonts w:ascii="Arial" w:eastAsia="Arial" w:hAnsi="Arial" w:cs="Arial"/>
          <w:sz w:val="18"/>
          <w:szCs w:val="18"/>
        </w:rPr>
        <w:t xml:space="preserve"> </w:t>
      </w:r>
      <w:r w:rsidRPr="00D64BE2">
        <w:rPr>
          <w:rFonts w:ascii="Arial" w:eastAsia="Arial" w:hAnsi="Arial" w:cs="Arial"/>
          <w:sz w:val="18"/>
          <w:szCs w:val="18"/>
        </w:rPr>
        <w:br/>
        <w:t>mobile: +48 728 826 023</w:t>
      </w:r>
    </w:p>
    <w:p w14:paraId="313CC4E9" w14:textId="77777777" w:rsidR="00F556C4" w:rsidRDefault="00F556C4" w:rsidP="00F556C4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 w14:paraId="035AF5CA" w14:textId="77777777" w:rsidR="00F556C4" w:rsidRPr="00A87D1F" w:rsidRDefault="00F556C4" w:rsidP="00F556C4">
      <w:pPr>
        <w:spacing w:after="280"/>
        <w:jc w:val="both"/>
        <w:rPr>
          <w:rFonts w:ascii="Arial" w:eastAsia="Arial" w:hAnsi="Arial" w:cs="Arial"/>
          <w:iCs/>
          <w:sz w:val="22"/>
          <w:szCs w:val="22"/>
        </w:rPr>
      </w:pPr>
    </w:p>
    <w:p w14:paraId="0B549DB2" w14:textId="77777777" w:rsidR="00F556C4" w:rsidRPr="00205A97" w:rsidRDefault="00F556C4" w:rsidP="00F556C4">
      <w:pPr>
        <w:suppressAutoHyphens/>
        <w:spacing w:before="100" w:beforeAutospacing="1" w:after="240" w:afterAutospacing="1"/>
        <w:ind w:right="-489"/>
        <w:contextualSpacing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sectPr w:rsidR="00F556C4" w:rsidRPr="00205A97">
      <w:headerReference w:type="default" r:id="rId9"/>
      <w:footerReference w:type="default" r:id="rId10"/>
      <w:type w:val="continuous"/>
      <w:pgSz w:w="11906" w:h="16838"/>
      <w:pgMar w:top="539" w:right="1418" w:bottom="18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3655" w14:textId="77777777" w:rsidR="00A851EC" w:rsidRDefault="00A851EC">
      <w:r>
        <w:separator/>
      </w:r>
    </w:p>
  </w:endnote>
  <w:endnote w:type="continuationSeparator" w:id="0">
    <w:p w14:paraId="335711A0" w14:textId="77777777" w:rsidR="00A851EC" w:rsidRDefault="00A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liorCo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erkeley LT CE Book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8E27" w14:textId="77777777" w:rsidR="0043726A" w:rsidRDefault="0043726A">
    <w:pPr>
      <w:rPr>
        <w:rFonts w:ascii="ITC Berkeley LT CE Book" w:eastAsia="ITC Berkeley LT CE Book" w:hAnsi="ITC Berkeley LT CE Book" w:cs="ITC Berkeley LT CE Book"/>
        <w:b/>
        <w:sz w:val="20"/>
        <w:szCs w:val="20"/>
      </w:rPr>
    </w:pPr>
  </w:p>
  <w:p w14:paraId="2A505B45" w14:textId="151F97BC" w:rsidR="0043726A" w:rsidRPr="004D13FC" w:rsidRDefault="00987F67">
    <w:pPr>
      <w:rPr>
        <w:rFonts w:ascii="ITC Berkeley LT CE Book" w:eastAsia="ITC Berkeley LT CE Book" w:hAnsi="ITC Berkeley LT CE Book" w:cs="ITC Berkeley LT CE Book"/>
        <w:sz w:val="16"/>
        <w:szCs w:val="16"/>
      </w:rPr>
    </w:pPr>
    <w:r>
      <w:rPr>
        <w:rFonts w:ascii="ITC Berkeley LT CE Book" w:hAnsi="ITC Berkeley LT CE Book"/>
        <w:b/>
        <w:sz w:val="20"/>
      </w:rPr>
      <w:t>AVESTUS REAL ESTATE</w: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ABC707" wp14:editId="14FF488A">
              <wp:simplePos x="0" y="0"/>
              <wp:positionH relativeFrom="column">
                <wp:posOffset>-914399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28" name="Łącznik prosty ze strzałką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16950" y="3780000"/>
                        <a:ext cx="7658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03DAA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8" o:spid="_x0000_s1026" type="#_x0000_t32" style="position:absolute;margin-left:-1in;margin-top:2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">
              <v:stroke startarrowwidth="narrow" startarrowlength="short" endarrowwidth="narrow" endarrowlength="short"/>
            </v:shape>
          </w:pict>
        </mc:Fallback>
      </mc:AlternateContent>
    </w:r>
  </w:p>
  <w:p w14:paraId="67CA2022" w14:textId="780CBB72" w:rsidR="0043726A" w:rsidRPr="004D13FC" w:rsidRDefault="00987F67">
    <w:pPr>
      <w:rPr>
        <w:rFonts w:ascii="ITC Berkeley LT CE Book" w:eastAsia="ITC Berkeley LT CE Book" w:hAnsi="ITC Berkeley LT CE Book" w:cs="ITC Berkeley LT CE Book"/>
        <w:sz w:val="18"/>
        <w:szCs w:val="18"/>
      </w:rPr>
    </w:pPr>
    <w:r>
      <w:rPr>
        <w:rFonts w:ascii="ITC Berkeley LT CE Book" w:hAnsi="ITC Berkeley LT CE Book"/>
        <w:sz w:val="18"/>
      </w:rPr>
      <w:t xml:space="preserve">Avestus Real Estate Sp. z </w:t>
    </w:r>
    <w:proofErr w:type="spellStart"/>
    <w:r>
      <w:rPr>
        <w:rFonts w:ascii="ITC Berkeley LT CE Book" w:hAnsi="ITC Berkeley LT CE Book"/>
        <w:sz w:val="18"/>
      </w:rPr>
      <w:t>o.o</w:t>
    </w:r>
    <w:proofErr w:type="spellEnd"/>
    <w:r>
      <w:rPr>
        <w:rFonts w:ascii="ITC Berkeley LT CE Book" w:hAnsi="ITC Berkeley LT CE Book"/>
        <w:sz w:val="18"/>
      </w:rPr>
      <w:t>.</w:t>
    </w:r>
    <w:r>
      <w:rPr>
        <w:rFonts w:ascii="ITC Berkeley LT CE Book" w:hAnsi="ITC Berkeley LT CE Book"/>
        <w:sz w:val="18"/>
      </w:rPr>
      <w:tab/>
    </w:r>
    <w:r>
      <w:rPr>
        <w:rFonts w:ascii="ITC Berkeley LT CE Book" w:hAnsi="ITC Berkeley LT CE Book"/>
        <w:sz w:val="18"/>
      </w:rPr>
      <w:tab/>
    </w:r>
    <w:r>
      <w:rPr>
        <w:rFonts w:ascii="ITC Berkeley LT CE Book" w:hAnsi="ITC Berkeley LT CE Book"/>
        <w:sz w:val="18"/>
      </w:rPr>
      <w:tab/>
    </w:r>
  </w:p>
  <w:p w14:paraId="503FAFC9" w14:textId="77777777" w:rsidR="0043726A" w:rsidRPr="004D13FC" w:rsidRDefault="00987F67">
    <w:pPr>
      <w:rPr>
        <w:rFonts w:ascii="ITC Berkeley LT CE Book" w:eastAsia="ITC Berkeley LT CE Book" w:hAnsi="ITC Berkeley LT CE Book" w:cs="ITC Berkeley LT CE Book"/>
        <w:sz w:val="18"/>
        <w:szCs w:val="18"/>
      </w:rPr>
    </w:pPr>
    <w:r>
      <w:rPr>
        <w:rFonts w:ascii="ITC Berkeley LT CE Book" w:hAnsi="ITC Berkeley LT CE Book"/>
        <w:sz w:val="18"/>
      </w:rPr>
      <w:t>Emilii Plater 28, 00-688 Warsaw; REGON: 010791175</w:t>
    </w:r>
  </w:p>
  <w:p w14:paraId="3647A064" w14:textId="15EB196E" w:rsidR="0043726A" w:rsidRPr="004D13FC" w:rsidRDefault="00987F67">
    <w:pPr>
      <w:rPr>
        <w:rFonts w:ascii="ITC Berkeley LT CE Book" w:eastAsia="ITC Berkeley LT CE Book" w:hAnsi="ITC Berkeley LT CE Book" w:cs="ITC Berkeley LT CE Book"/>
        <w:sz w:val="18"/>
        <w:szCs w:val="18"/>
      </w:rPr>
    </w:pPr>
    <w:r>
      <w:rPr>
        <w:rFonts w:ascii="ITC Berkeley LT CE Book" w:hAnsi="ITC Berkeley LT CE Book"/>
        <w:sz w:val="18"/>
      </w:rPr>
      <w:t xml:space="preserve">Telephone: +48 22 520 6000; Share </w:t>
    </w:r>
    <w:r w:rsidR="00BA7F37">
      <w:rPr>
        <w:rFonts w:ascii="ITC Berkeley LT CE Book" w:hAnsi="ITC Berkeley LT CE Book"/>
        <w:sz w:val="18"/>
      </w:rPr>
      <w:t>c</w:t>
    </w:r>
    <w:r>
      <w:rPr>
        <w:rFonts w:ascii="ITC Berkeley LT CE Book" w:hAnsi="ITC Berkeley LT CE Book"/>
        <w:sz w:val="18"/>
      </w:rPr>
      <w:t>apital</w:t>
    </w:r>
    <w:r w:rsidR="00BA7F37">
      <w:rPr>
        <w:rFonts w:ascii="ITC Berkeley LT CE Book" w:hAnsi="ITC Berkeley LT CE Book"/>
        <w:sz w:val="18"/>
      </w:rPr>
      <w:t>:</w:t>
    </w:r>
    <w:r>
      <w:rPr>
        <w:rFonts w:ascii="ITC Berkeley LT CE Book" w:hAnsi="ITC Berkeley LT CE Book"/>
        <w:sz w:val="18"/>
      </w:rPr>
      <w:t xml:space="preserve"> PLN 50,000.00</w:t>
    </w:r>
  </w:p>
  <w:p w14:paraId="74E0E528" w14:textId="378C708F" w:rsidR="0043726A" w:rsidRPr="004D13FC" w:rsidRDefault="00987F67">
    <w:pPr>
      <w:rPr>
        <w:rFonts w:ascii="ITC Berkeley LT CE Book" w:eastAsia="ITC Berkeley LT CE Book" w:hAnsi="ITC Berkeley LT CE Book" w:cs="ITC Berkeley LT CE Book"/>
        <w:sz w:val="18"/>
        <w:szCs w:val="18"/>
      </w:rPr>
    </w:pPr>
    <w:r>
      <w:rPr>
        <w:rFonts w:ascii="ITC Berkeley LT CE Book" w:hAnsi="ITC Berkeley LT CE Book"/>
        <w:sz w:val="18"/>
      </w:rPr>
      <w:t>Facsimile: +48 22 520 6001; NIP</w:t>
    </w:r>
    <w:r w:rsidR="00394359">
      <w:rPr>
        <w:rFonts w:ascii="ITC Berkeley LT CE Book" w:hAnsi="ITC Berkeley LT CE Book"/>
        <w:sz w:val="18"/>
      </w:rPr>
      <w:t>:</w:t>
    </w:r>
    <w:r>
      <w:rPr>
        <w:rFonts w:ascii="ITC Berkeley LT CE Book" w:hAnsi="ITC Berkeley LT CE Book"/>
        <w:sz w:val="18"/>
      </w:rPr>
      <w:t xml:space="preserve"> 526-10-09-801</w:t>
    </w:r>
  </w:p>
  <w:p w14:paraId="72C41EA6" w14:textId="21C6F0BF" w:rsidR="0043726A" w:rsidRDefault="00987F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ITC Berkeley LT CE Book" w:hAnsi="ITC Berkeley LT CE Book"/>
        <w:color w:val="000000"/>
        <w:sz w:val="18"/>
      </w:rPr>
    </w:pPr>
    <w:r>
      <w:rPr>
        <w:rFonts w:ascii="ITC Berkeley LT CE Book" w:hAnsi="ITC Berkeley LT CE Book"/>
        <w:color w:val="000000"/>
        <w:sz w:val="18"/>
      </w:rPr>
      <w:t>KRS no.: 0000046689; District Court of Warsaw, 12th Department of the National Court Register</w:t>
    </w:r>
  </w:p>
  <w:p w14:paraId="4EC61BB7" w14:textId="77777777" w:rsidR="00394359" w:rsidRDefault="003943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ITC Berkeley LT CE Book" w:hAnsi="ITC Berkeley LT CE Book"/>
        <w:color w:val="000000"/>
        <w:sz w:val="18"/>
      </w:rPr>
    </w:pPr>
  </w:p>
  <w:p w14:paraId="13FEE9E2" w14:textId="77777777" w:rsidR="00BA7F37" w:rsidRPr="004D13FC" w:rsidRDefault="00BA7F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EFF7A" w14:textId="77777777" w:rsidR="00A851EC" w:rsidRDefault="00A851EC">
      <w:r>
        <w:separator/>
      </w:r>
    </w:p>
  </w:footnote>
  <w:footnote w:type="continuationSeparator" w:id="0">
    <w:p w14:paraId="1F5269A4" w14:textId="77777777" w:rsidR="00A851EC" w:rsidRDefault="00A8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78CE9" w14:textId="77777777" w:rsidR="0043726A" w:rsidRDefault="004372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5B3588E1" w14:textId="77777777" w:rsidR="0043726A" w:rsidRDefault="004372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2FD10F75" w14:textId="77777777" w:rsidR="0043726A" w:rsidRDefault="00987F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7F92E5CD" wp14:editId="4186D525">
          <wp:extent cx="3063875" cy="581660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3875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B0881"/>
    <w:multiLevelType w:val="multilevel"/>
    <w:tmpl w:val="CE4CE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DD5C1C"/>
    <w:multiLevelType w:val="hybridMultilevel"/>
    <w:tmpl w:val="F570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443A9"/>
    <w:multiLevelType w:val="hybridMultilevel"/>
    <w:tmpl w:val="FC16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6A"/>
    <w:rsid w:val="000110A7"/>
    <w:rsid w:val="000311BE"/>
    <w:rsid w:val="00040040"/>
    <w:rsid w:val="00050442"/>
    <w:rsid w:val="0005462A"/>
    <w:rsid w:val="00055F5B"/>
    <w:rsid w:val="00070C4C"/>
    <w:rsid w:val="0007352D"/>
    <w:rsid w:val="0007417B"/>
    <w:rsid w:val="00082624"/>
    <w:rsid w:val="000962E9"/>
    <w:rsid w:val="000A0C5F"/>
    <w:rsid w:val="000A58D0"/>
    <w:rsid w:val="000A7A21"/>
    <w:rsid w:val="000D2C29"/>
    <w:rsid w:val="000E4D5B"/>
    <w:rsid w:val="000F3AE1"/>
    <w:rsid w:val="00107C11"/>
    <w:rsid w:val="001113CE"/>
    <w:rsid w:val="001274D0"/>
    <w:rsid w:val="001300DC"/>
    <w:rsid w:val="001628C1"/>
    <w:rsid w:val="001637BF"/>
    <w:rsid w:val="0016785B"/>
    <w:rsid w:val="001865CF"/>
    <w:rsid w:val="00191541"/>
    <w:rsid w:val="001965EC"/>
    <w:rsid w:val="001A4DFD"/>
    <w:rsid w:val="001B052D"/>
    <w:rsid w:val="001B208C"/>
    <w:rsid w:val="001B3C59"/>
    <w:rsid w:val="001D3DA9"/>
    <w:rsid w:val="001D3E5F"/>
    <w:rsid w:val="001D4078"/>
    <w:rsid w:val="001E74A6"/>
    <w:rsid w:val="001F0877"/>
    <w:rsid w:val="00205A97"/>
    <w:rsid w:val="00205CF1"/>
    <w:rsid w:val="00220F10"/>
    <w:rsid w:val="00221978"/>
    <w:rsid w:val="00222B12"/>
    <w:rsid w:val="00230263"/>
    <w:rsid w:val="00240711"/>
    <w:rsid w:val="002414A3"/>
    <w:rsid w:val="002502DA"/>
    <w:rsid w:val="00251793"/>
    <w:rsid w:val="00251F90"/>
    <w:rsid w:val="002571AD"/>
    <w:rsid w:val="002614AA"/>
    <w:rsid w:val="00270BFD"/>
    <w:rsid w:val="00296EE1"/>
    <w:rsid w:val="002A721C"/>
    <w:rsid w:val="002A7DEB"/>
    <w:rsid w:val="002B1781"/>
    <w:rsid w:val="002C4380"/>
    <w:rsid w:val="002C5718"/>
    <w:rsid w:val="002D3DD6"/>
    <w:rsid w:val="002E531D"/>
    <w:rsid w:val="002F3A14"/>
    <w:rsid w:val="002F6457"/>
    <w:rsid w:val="00302430"/>
    <w:rsid w:val="0031299B"/>
    <w:rsid w:val="00313C8E"/>
    <w:rsid w:val="00322AFB"/>
    <w:rsid w:val="00324F0E"/>
    <w:rsid w:val="00337C18"/>
    <w:rsid w:val="00346321"/>
    <w:rsid w:val="00382DA2"/>
    <w:rsid w:val="00385B66"/>
    <w:rsid w:val="0039161E"/>
    <w:rsid w:val="00394359"/>
    <w:rsid w:val="00394938"/>
    <w:rsid w:val="003A312B"/>
    <w:rsid w:val="003A3C7F"/>
    <w:rsid w:val="003B2654"/>
    <w:rsid w:val="003B45FD"/>
    <w:rsid w:val="003C2AF1"/>
    <w:rsid w:val="003D7D14"/>
    <w:rsid w:val="003E7422"/>
    <w:rsid w:val="003F006F"/>
    <w:rsid w:val="004262FB"/>
    <w:rsid w:val="00431189"/>
    <w:rsid w:val="00433350"/>
    <w:rsid w:val="0043726A"/>
    <w:rsid w:val="0044170C"/>
    <w:rsid w:val="0044427C"/>
    <w:rsid w:val="0044684E"/>
    <w:rsid w:val="004478BB"/>
    <w:rsid w:val="00463BA1"/>
    <w:rsid w:val="00486E31"/>
    <w:rsid w:val="004B6DC1"/>
    <w:rsid w:val="004D13FC"/>
    <w:rsid w:val="004E27B2"/>
    <w:rsid w:val="004F0C37"/>
    <w:rsid w:val="004F2217"/>
    <w:rsid w:val="004F4A0F"/>
    <w:rsid w:val="004F50F3"/>
    <w:rsid w:val="0051633A"/>
    <w:rsid w:val="0053464C"/>
    <w:rsid w:val="005424BF"/>
    <w:rsid w:val="00545BDA"/>
    <w:rsid w:val="00554848"/>
    <w:rsid w:val="005705A5"/>
    <w:rsid w:val="00575AD5"/>
    <w:rsid w:val="005773E0"/>
    <w:rsid w:val="0058311A"/>
    <w:rsid w:val="00596C55"/>
    <w:rsid w:val="005A716C"/>
    <w:rsid w:val="005B77BE"/>
    <w:rsid w:val="005C3FA5"/>
    <w:rsid w:val="005D52C0"/>
    <w:rsid w:val="00601CD3"/>
    <w:rsid w:val="006045F7"/>
    <w:rsid w:val="00604EAB"/>
    <w:rsid w:val="00631CB3"/>
    <w:rsid w:val="00632DE0"/>
    <w:rsid w:val="006340D7"/>
    <w:rsid w:val="00635924"/>
    <w:rsid w:val="00642BAC"/>
    <w:rsid w:val="0064632D"/>
    <w:rsid w:val="00646D6D"/>
    <w:rsid w:val="00661F1D"/>
    <w:rsid w:val="00671ADD"/>
    <w:rsid w:val="00687E76"/>
    <w:rsid w:val="006A139B"/>
    <w:rsid w:val="006D3B15"/>
    <w:rsid w:val="006D7FA9"/>
    <w:rsid w:val="006F47A3"/>
    <w:rsid w:val="00704326"/>
    <w:rsid w:val="00713493"/>
    <w:rsid w:val="00730FBA"/>
    <w:rsid w:val="00737EB7"/>
    <w:rsid w:val="007443BF"/>
    <w:rsid w:val="00744EC8"/>
    <w:rsid w:val="00745090"/>
    <w:rsid w:val="00757EC7"/>
    <w:rsid w:val="00762B23"/>
    <w:rsid w:val="0077003A"/>
    <w:rsid w:val="00792494"/>
    <w:rsid w:val="007B5057"/>
    <w:rsid w:val="007C49CD"/>
    <w:rsid w:val="007D22F7"/>
    <w:rsid w:val="007D5AF7"/>
    <w:rsid w:val="007E2D52"/>
    <w:rsid w:val="007F635E"/>
    <w:rsid w:val="008163CF"/>
    <w:rsid w:val="0082528D"/>
    <w:rsid w:val="00837620"/>
    <w:rsid w:val="00840811"/>
    <w:rsid w:val="00846D95"/>
    <w:rsid w:val="00862759"/>
    <w:rsid w:val="00867718"/>
    <w:rsid w:val="008944A4"/>
    <w:rsid w:val="008B705A"/>
    <w:rsid w:val="008C2C73"/>
    <w:rsid w:val="008D798C"/>
    <w:rsid w:val="008E1E4B"/>
    <w:rsid w:val="008F6FF5"/>
    <w:rsid w:val="00905D22"/>
    <w:rsid w:val="00907167"/>
    <w:rsid w:val="00920F3A"/>
    <w:rsid w:val="009223FE"/>
    <w:rsid w:val="00943A40"/>
    <w:rsid w:val="00946FDB"/>
    <w:rsid w:val="0095506F"/>
    <w:rsid w:val="00956A34"/>
    <w:rsid w:val="0096603C"/>
    <w:rsid w:val="00970B56"/>
    <w:rsid w:val="00981B9E"/>
    <w:rsid w:val="00987F67"/>
    <w:rsid w:val="00994881"/>
    <w:rsid w:val="00994CD2"/>
    <w:rsid w:val="009A7455"/>
    <w:rsid w:val="009C291A"/>
    <w:rsid w:val="009C79EE"/>
    <w:rsid w:val="009F5AA1"/>
    <w:rsid w:val="00A017A2"/>
    <w:rsid w:val="00A05DBF"/>
    <w:rsid w:val="00A244E3"/>
    <w:rsid w:val="00A26220"/>
    <w:rsid w:val="00A26AF7"/>
    <w:rsid w:val="00A40687"/>
    <w:rsid w:val="00A53E9D"/>
    <w:rsid w:val="00A550DC"/>
    <w:rsid w:val="00A614C6"/>
    <w:rsid w:val="00A62E8A"/>
    <w:rsid w:val="00A851EC"/>
    <w:rsid w:val="00A905AB"/>
    <w:rsid w:val="00A96E9E"/>
    <w:rsid w:val="00AA068A"/>
    <w:rsid w:val="00AA66B6"/>
    <w:rsid w:val="00AC1629"/>
    <w:rsid w:val="00AC1EC4"/>
    <w:rsid w:val="00AD09C9"/>
    <w:rsid w:val="00AD228C"/>
    <w:rsid w:val="00AD5B7E"/>
    <w:rsid w:val="00B056E9"/>
    <w:rsid w:val="00B05720"/>
    <w:rsid w:val="00B145EF"/>
    <w:rsid w:val="00B3448F"/>
    <w:rsid w:val="00B36967"/>
    <w:rsid w:val="00B443B4"/>
    <w:rsid w:val="00B816E6"/>
    <w:rsid w:val="00B862D0"/>
    <w:rsid w:val="00B86C3D"/>
    <w:rsid w:val="00BA4D45"/>
    <w:rsid w:val="00BA7F37"/>
    <w:rsid w:val="00BB3AD8"/>
    <w:rsid w:val="00BB67EF"/>
    <w:rsid w:val="00BD0836"/>
    <w:rsid w:val="00BE02E0"/>
    <w:rsid w:val="00BE2491"/>
    <w:rsid w:val="00C07D04"/>
    <w:rsid w:val="00C11617"/>
    <w:rsid w:val="00C11E87"/>
    <w:rsid w:val="00C1751F"/>
    <w:rsid w:val="00C20416"/>
    <w:rsid w:val="00C241E5"/>
    <w:rsid w:val="00C315BE"/>
    <w:rsid w:val="00C511D4"/>
    <w:rsid w:val="00C52717"/>
    <w:rsid w:val="00C53C53"/>
    <w:rsid w:val="00C5672A"/>
    <w:rsid w:val="00C6710D"/>
    <w:rsid w:val="00C825F6"/>
    <w:rsid w:val="00C839E6"/>
    <w:rsid w:val="00C91941"/>
    <w:rsid w:val="00C93095"/>
    <w:rsid w:val="00CC1558"/>
    <w:rsid w:val="00CD2C0B"/>
    <w:rsid w:val="00D00C7B"/>
    <w:rsid w:val="00D01BB3"/>
    <w:rsid w:val="00D01E66"/>
    <w:rsid w:val="00D03BAF"/>
    <w:rsid w:val="00D05D85"/>
    <w:rsid w:val="00D10C70"/>
    <w:rsid w:val="00D40B5D"/>
    <w:rsid w:val="00D438EE"/>
    <w:rsid w:val="00D57399"/>
    <w:rsid w:val="00D7204E"/>
    <w:rsid w:val="00D84141"/>
    <w:rsid w:val="00D869ED"/>
    <w:rsid w:val="00DA32AF"/>
    <w:rsid w:val="00DC337A"/>
    <w:rsid w:val="00DC7FA9"/>
    <w:rsid w:val="00DD0830"/>
    <w:rsid w:val="00E02D97"/>
    <w:rsid w:val="00E05E32"/>
    <w:rsid w:val="00E07B2C"/>
    <w:rsid w:val="00E11F6E"/>
    <w:rsid w:val="00E33D9D"/>
    <w:rsid w:val="00E3673E"/>
    <w:rsid w:val="00E5375A"/>
    <w:rsid w:val="00E54939"/>
    <w:rsid w:val="00E6476C"/>
    <w:rsid w:val="00E80E43"/>
    <w:rsid w:val="00E81EE6"/>
    <w:rsid w:val="00E8531E"/>
    <w:rsid w:val="00EB2C22"/>
    <w:rsid w:val="00EB6543"/>
    <w:rsid w:val="00EC171C"/>
    <w:rsid w:val="00EC1896"/>
    <w:rsid w:val="00ED373F"/>
    <w:rsid w:val="00ED705E"/>
    <w:rsid w:val="00EE5466"/>
    <w:rsid w:val="00F00561"/>
    <w:rsid w:val="00F01B20"/>
    <w:rsid w:val="00F0626E"/>
    <w:rsid w:val="00F17A1B"/>
    <w:rsid w:val="00F17AD3"/>
    <w:rsid w:val="00F30BAD"/>
    <w:rsid w:val="00F34689"/>
    <w:rsid w:val="00F556C4"/>
    <w:rsid w:val="00F56BB3"/>
    <w:rsid w:val="00F60593"/>
    <w:rsid w:val="00F92F95"/>
    <w:rsid w:val="00FC482C"/>
    <w:rsid w:val="00FD07C5"/>
    <w:rsid w:val="00FD3401"/>
    <w:rsid w:val="00FD7C23"/>
    <w:rsid w:val="00FE7126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D09"/>
  <w15:docId w15:val="{30650CC8-9A8E-4425-8BE1-F7D6DF74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39A"/>
  </w:style>
  <w:style w:type="paragraph" w:styleId="Nagwek1">
    <w:name w:val="heading 1"/>
    <w:aliases w:val="Press Release Title"/>
    <w:basedOn w:val="Normalny"/>
    <w:next w:val="Normalny"/>
    <w:link w:val="Nagwek1Znak"/>
    <w:uiPriority w:val="9"/>
    <w:qFormat/>
    <w:rsid w:val="00764BC5"/>
    <w:pPr>
      <w:spacing w:before="240"/>
      <w:outlineLvl w:val="0"/>
    </w:pPr>
    <w:rPr>
      <w:rFonts w:ascii="Trajan Pro" w:hAnsi="Trajan Pro" w:cs="Calibri"/>
      <w:color w:val="2E3790"/>
      <w:sz w:val="51"/>
      <w:szCs w:val="51"/>
      <w:lang w:eastAsia="en-GB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pPr>
      <w:spacing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rsid w:val="000A02F6"/>
    <w:pPr>
      <w:spacing w:before="120" w:after="120" w:line="288" w:lineRule="auto"/>
      <w:ind w:left="709"/>
      <w:jc w:val="both"/>
      <w:outlineLvl w:val="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0A02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A02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Press Release Title Znak"/>
    <w:basedOn w:val="Domylnaczcionkaakapitu"/>
    <w:link w:val="Nagwek1"/>
    <w:rsid w:val="00764BC5"/>
    <w:rPr>
      <w:rFonts w:ascii="Trajan Pro" w:hAnsi="Trajan Pro" w:cs="Calibri"/>
      <w:color w:val="2E3790"/>
      <w:sz w:val="51"/>
      <w:szCs w:val="51"/>
      <w:lang w:val="en-GB" w:eastAsia="en-GB"/>
    </w:rPr>
  </w:style>
  <w:style w:type="paragraph" w:styleId="Legenda">
    <w:name w:val="caption"/>
    <w:aliases w:val="Date style"/>
    <w:basedOn w:val="Nagwek1"/>
    <w:next w:val="Normalny"/>
    <w:semiHidden/>
    <w:unhideWhenUsed/>
    <w:qFormat/>
    <w:rsid w:val="00764BC5"/>
    <w:rPr>
      <w:color w:val="808080"/>
      <w:sz w:val="36"/>
    </w:rPr>
  </w:style>
  <w:style w:type="character" w:styleId="Hipercze">
    <w:name w:val="Hyperlink"/>
    <w:unhideWhenUsed/>
    <w:rsid w:val="00764BC5"/>
    <w:rPr>
      <w:color w:val="0000FF"/>
      <w:u w:val="single"/>
    </w:rPr>
  </w:style>
  <w:style w:type="character" w:styleId="Odwoaniedokomentarza">
    <w:name w:val="annotation reference"/>
    <w:basedOn w:val="Domylnaczcionkaakapitu"/>
    <w:rsid w:val="001101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01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0123"/>
  </w:style>
  <w:style w:type="paragraph" w:styleId="Tematkomentarza">
    <w:name w:val="annotation subject"/>
    <w:basedOn w:val="Tekstkomentarza"/>
    <w:next w:val="Tekstkomentarza"/>
    <w:link w:val="TematkomentarzaZnak"/>
    <w:rsid w:val="00110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123"/>
    <w:rPr>
      <w:b/>
      <w:bCs/>
    </w:rPr>
  </w:style>
  <w:style w:type="paragraph" w:styleId="Akapitzlist">
    <w:name w:val="List Paragraph"/>
    <w:basedOn w:val="Normalny"/>
    <w:uiPriority w:val="34"/>
    <w:qFormat/>
    <w:rsid w:val="00EE55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4BB"/>
    <w:rPr>
      <w:color w:val="808080"/>
      <w:shd w:val="clear" w:color="auto" w:fill="E6E6E6"/>
    </w:rPr>
  </w:style>
  <w:style w:type="character" w:customStyle="1" w:styleId="fontstyle01">
    <w:name w:val="fontstyle01"/>
    <w:basedOn w:val="Domylnaczcionkaakapitu"/>
    <w:rsid w:val="003D7FB5"/>
    <w:rPr>
      <w:rFonts w:ascii="MeliorCom" w:hAnsi="MeliorCom" w:hint="default"/>
      <w:b w:val="0"/>
      <w:bCs w:val="0"/>
      <w:i w:val="0"/>
      <w:iCs w:val="0"/>
      <w:color w:val="1A1A18"/>
      <w:sz w:val="18"/>
      <w:szCs w:val="18"/>
    </w:rPr>
  </w:style>
  <w:style w:type="paragraph" w:styleId="Poprawka">
    <w:name w:val="Revision"/>
    <w:hidden/>
    <w:uiPriority w:val="99"/>
    <w:semiHidden/>
    <w:rsid w:val="000E108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438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7417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74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elgus@advanced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cydIDQs7NkScYBYjLUhoFWxveQ==">AMUW2mVsWIpr2WPWscq2aDoVqxNt1LjF6eHmvdcQU8wrV/oyZmnLMmR+btVaPUYlQDFPGBT9+oHxn2vTo6LcuumQq2NoMRN9HHfkwjfqVYRQYb0YQa7e12Q=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Pasko</dc:creator>
  <cp:lastModifiedBy>Krzysztof Wielgus</cp:lastModifiedBy>
  <cp:revision>9</cp:revision>
  <dcterms:created xsi:type="dcterms:W3CDTF">2024-01-17T12:11:00Z</dcterms:created>
  <dcterms:modified xsi:type="dcterms:W3CDTF">2024-01-23T07:51:00Z</dcterms:modified>
</cp:coreProperties>
</file>